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center"/>
        <w:rPr>
          <w:rFonts w:hint="eastAsia" w:ascii="黑体" w:hAnsi="Calibri" w:eastAsia="黑体" w:cs="Times New Roman"/>
          <w:sz w:val="44"/>
          <w:szCs w:val="44"/>
        </w:rPr>
      </w:pPr>
      <w:r>
        <w:rPr>
          <w:rFonts w:hint="eastAsia" w:ascii="黑体" w:hAnsi="Calibri" w:eastAsia="黑体" w:cs="Times New Roman"/>
          <w:sz w:val="44"/>
          <w:szCs w:val="44"/>
        </w:rPr>
        <w:t>关于推荐优秀团员作党的发展对象的通知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各班团支部：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64" w:lineRule="atLeas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为了培养社会主义事业接班人，加强党员队伍建设，充实党的新生力量，激发广大团员青年的政治热情，增强共青团组织的战斗力、凝聚力，根据中共中央组织部和共青团中央委员会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Times New Roman"/>
          <w:sz w:val="32"/>
          <w:szCs w:val="32"/>
        </w:rPr>
        <w:t>关于进一步做好推荐优秀团员作党的发展对象工作的意见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Times New Roman"/>
          <w:sz w:val="32"/>
          <w:szCs w:val="32"/>
        </w:rPr>
        <w:t>精神，结合院实际情况，系团总支将开展新一轮的推优工作，现将具体事项通知如下：</w:t>
      </w:r>
    </w:p>
    <w:p>
      <w:pPr>
        <w:spacing w:line="580" w:lineRule="exact"/>
        <w:ind w:firstLine="643" w:firstLineChars="200"/>
        <w:rPr>
          <w:rFonts w:hint="eastAsia"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eastAsia="zh-CN"/>
        </w:rPr>
        <w:t>一、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“推优”对象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64" w:lineRule="atLeas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18周岁至28周岁的团员青年，热爱中国共产党，有坚定的共产主义信念，有为人民服务的精神，有正确的入党动机，积极向党组织靠拢，本人自愿加入党组织并正式递交了入党申请书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6个月，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业余党校结业，无宗教信仰。</w:t>
      </w:r>
    </w:p>
    <w:p>
      <w:pPr>
        <w:spacing w:line="580" w:lineRule="exact"/>
        <w:ind w:firstLine="643" w:firstLineChars="200"/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  <w:t>二、推荐条件</w:t>
      </w:r>
    </w:p>
    <w:p>
      <w:pPr>
        <w:spacing w:line="58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.入党动机端正，对党有一定的认识，共产主义理想信念坚定，坚持四项基本原则；</w:t>
      </w:r>
    </w:p>
    <w:p>
      <w:pPr>
        <w:spacing w:line="58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.自觉遵守党纪国法和学院各项规章制度，无违纪违法行为；</w:t>
      </w:r>
    </w:p>
    <w:p>
      <w:pPr>
        <w:spacing w:line="58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.有全心全意为人民服务的自觉性，正确处理国家、集体、个人三者利益之间的关系；</w:t>
      </w:r>
    </w:p>
    <w:p>
      <w:pPr>
        <w:spacing w:line="58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.积极参加团校、党校、党章学习小组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以及支部学习会</w:t>
      </w:r>
      <w:r>
        <w:rPr>
          <w:rFonts w:hint="eastAsia" w:ascii="仿宋_GB2312" w:hAnsi="Calibri" w:eastAsia="仿宋_GB2312" w:cs="Times New Roman"/>
          <w:sz w:val="32"/>
          <w:szCs w:val="32"/>
        </w:rPr>
        <w:t>的学习和活动；</w:t>
      </w:r>
    </w:p>
    <w:p>
      <w:pPr>
        <w:spacing w:line="58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</w:rPr>
        <w:t>.积极参加团组织活动和各种公益活动，自觉履行团员义务，发挥团员的模范作用；</w:t>
      </w:r>
    </w:p>
    <w:p>
      <w:pPr>
        <w:spacing w:line="58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sz w:val="32"/>
          <w:szCs w:val="32"/>
        </w:rPr>
        <w:t>.学生学习目的明确，学习认真努力，成绩良好，上学年无不及格课程，上学期学习成绩排名不得低于班级的前50%。</w:t>
      </w:r>
    </w:p>
    <w:p>
      <w:pPr>
        <w:spacing w:line="580" w:lineRule="exact"/>
        <w:ind w:firstLine="643" w:firstLineChars="200"/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  <w:t>三、推荐名额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大一、大二名额不限，符合条件即可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/>
        <w:ind w:firstLine="643" w:firstLineChars="200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推荐程序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/>
        <w:ind w:right="0" w:rightChars="0"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班级团支部参照上述条件评选，班主任主持评选会议，推选出符合条件的同学,将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“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推优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”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名单的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汇总表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上报系学工办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李丹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老师处。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/>
        <w:ind w:firstLine="643" w:firstLineChars="200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五、截止日期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：201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14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日 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aps w:val="0"/>
          <w:color w:val="4F4F4F"/>
          <w:spacing w:val="15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信息技术系团总支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right="285"/>
        <w:jc w:val="center"/>
        <w:rPr>
          <w:rFonts w:hint="default"/>
          <w:lang w:val="en-US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           2019年3月5日 </w:t>
      </w:r>
    </w:p>
    <w:p>
      <w:pPr>
        <w:spacing w:line="220" w:lineRule="atLeas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20" w:lineRule="atLeas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20" w:lineRule="atLeas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20" w:lineRule="atLeas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20" w:lineRule="atLeas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20" w:lineRule="atLeast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spacing w:line="22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推荐优秀团员作党的发展对象学习情况统计表</w:t>
      </w:r>
      <w:r>
        <w:rPr>
          <w:rFonts w:hint="eastAsia" w:ascii="宋体" w:hAnsi="宋体"/>
          <w:b/>
          <w:sz w:val="36"/>
          <w:szCs w:val="36"/>
        </w:rPr>
        <w:t>(</w:t>
      </w:r>
      <w:r>
        <w:rPr>
          <w:rFonts w:hint="eastAsia" w:ascii="宋体" w:hAnsi="宋体"/>
          <w:b/>
          <w:sz w:val="36"/>
          <w:szCs w:val="36"/>
          <w:lang w:eastAsia="zh-CN"/>
        </w:rPr>
        <w:t>班级：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b/>
          <w:sz w:val="36"/>
          <w:szCs w:val="36"/>
        </w:rPr>
        <w:t>)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00"/>
        <w:gridCol w:w="579"/>
        <w:gridCol w:w="580"/>
        <w:gridCol w:w="826"/>
        <w:gridCol w:w="580"/>
        <w:gridCol w:w="580"/>
        <w:gridCol w:w="909"/>
        <w:gridCol w:w="851"/>
        <w:gridCol w:w="964"/>
        <w:gridCol w:w="826"/>
        <w:gridCol w:w="408"/>
        <w:gridCol w:w="408"/>
        <w:gridCol w:w="408"/>
        <w:gridCol w:w="408"/>
        <w:gridCol w:w="587"/>
        <w:gridCol w:w="587"/>
        <w:gridCol w:w="650"/>
        <w:gridCol w:w="757"/>
        <w:gridCol w:w="703"/>
        <w:gridCol w:w="826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序号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579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性别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出生年月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民族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籍贯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专业班级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入团时间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入党申请时间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宗教信仰</w:t>
            </w:r>
          </w:p>
        </w:tc>
        <w:tc>
          <w:tcPr>
            <w:tcW w:w="1632" w:type="dxa"/>
            <w:gridSpan w:val="4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班级成绩</w:t>
            </w:r>
            <w:r>
              <w:rPr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>排名</w:t>
            </w:r>
          </w:p>
        </w:tc>
        <w:tc>
          <w:tcPr>
            <w:tcW w:w="1174" w:type="dxa"/>
            <w:gridSpan w:val="2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不及格课程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班级人数</w:t>
            </w:r>
          </w:p>
        </w:tc>
        <w:tc>
          <w:tcPr>
            <w:tcW w:w="2286" w:type="dxa"/>
            <w:gridSpan w:val="3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获奖情况</w:t>
            </w:r>
          </w:p>
        </w:tc>
        <w:tc>
          <w:tcPr>
            <w:tcW w:w="580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32" w:type="dxa"/>
            <w:gridSpan w:val="4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学期</w:t>
            </w:r>
          </w:p>
        </w:tc>
        <w:tc>
          <w:tcPr>
            <w:tcW w:w="1174" w:type="dxa"/>
            <w:gridSpan w:val="2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6" w:type="dxa"/>
            <w:gridSpan w:val="3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32" w:type="dxa"/>
            <w:gridSpan w:val="4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7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课程</w:t>
            </w:r>
          </w:p>
        </w:tc>
        <w:tc>
          <w:tcPr>
            <w:tcW w:w="587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门数</w:t>
            </w: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职位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奖学金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其他奖项</w:t>
            </w: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40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</w:t>
            </w:r>
          </w:p>
        </w:tc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7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7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57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7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7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0" w:type="dxa"/>
            <w:noWrap w:val="0"/>
            <w:vAlign w:val="top"/>
          </w:tcPr>
          <w:p>
            <w:pPr>
              <w:spacing w:line="220" w:lineRule="atLeas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班级团支部</w:t>
            </w:r>
            <w:r>
              <w:rPr>
                <w:rFonts w:ascii="宋体" w:hAnsi="宋体"/>
                <w:bCs/>
                <w:sz w:val="24"/>
              </w:rPr>
              <w:t>意见</w:t>
            </w:r>
          </w:p>
        </w:tc>
        <w:tc>
          <w:tcPr>
            <w:tcW w:w="12438" w:type="dxa"/>
            <w:gridSpan w:val="19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班主任</w:t>
            </w:r>
            <w:r>
              <w:rPr>
                <w:rFonts w:ascii="宋体" w:hAnsi="宋体"/>
                <w:bCs/>
                <w:sz w:val="24"/>
              </w:rPr>
              <w:t>意见</w:t>
            </w:r>
          </w:p>
        </w:tc>
        <w:tc>
          <w:tcPr>
            <w:tcW w:w="12438" w:type="dxa"/>
            <w:gridSpan w:val="19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36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系团总支意见</w:t>
            </w:r>
          </w:p>
        </w:tc>
        <w:tc>
          <w:tcPr>
            <w:tcW w:w="12438" w:type="dxa"/>
            <w:gridSpan w:val="19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220" w:lineRule="atLeast"/>
        <w:ind w:right="56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                                   信息技术系</w:t>
      </w:r>
      <w:r>
        <w:rPr>
          <w:rFonts w:ascii="宋体" w:hAnsi="宋体"/>
          <w:sz w:val="28"/>
          <w:szCs w:val="28"/>
        </w:rPr>
        <w:t>团</w:t>
      </w:r>
      <w:r>
        <w:rPr>
          <w:rFonts w:hint="eastAsia" w:ascii="宋体" w:hAnsi="宋体"/>
          <w:sz w:val="28"/>
          <w:szCs w:val="28"/>
          <w:lang w:eastAsia="zh-CN"/>
        </w:rPr>
        <w:t>总支</w:t>
      </w:r>
      <w:r>
        <w:rPr>
          <w:rFonts w:ascii="宋体" w:hAnsi="宋体"/>
          <w:sz w:val="28"/>
          <w:szCs w:val="28"/>
        </w:rPr>
        <w:t>制</w:t>
      </w:r>
    </w:p>
    <w:p>
      <w:pPr>
        <w:spacing w:line="220" w:lineRule="atLeast"/>
        <w:ind w:right="560"/>
        <w:jc w:val="right"/>
        <w:rPr>
          <w:rStyle w:val="8"/>
          <w:rFonts w:eastAsia="宋体"/>
          <w:color w:val="auto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1E8"/>
    <w:multiLevelType w:val="singleLevel"/>
    <w:tmpl w:val="074461E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265FE"/>
    <w:rsid w:val="040B1FEE"/>
    <w:rsid w:val="0D907B0C"/>
    <w:rsid w:val="0E3719C3"/>
    <w:rsid w:val="139C2621"/>
    <w:rsid w:val="1E476B0C"/>
    <w:rsid w:val="26010C88"/>
    <w:rsid w:val="31CC21B7"/>
    <w:rsid w:val="47994E19"/>
    <w:rsid w:val="4A7656B9"/>
    <w:rsid w:val="4BAB63BE"/>
    <w:rsid w:val="5D6F2288"/>
    <w:rsid w:val="5EBD1221"/>
    <w:rsid w:val="602A7D48"/>
    <w:rsid w:val="705536EE"/>
    <w:rsid w:val="71AF4FF7"/>
    <w:rsid w:val="768854C2"/>
    <w:rsid w:val="7ADA3EDB"/>
    <w:rsid w:val="7D4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宋体" w:hAnsi="宋体" w:eastAsia="宋体" w:cs="宋体"/>
      <w:color w:val="585858"/>
      <w:sz w:val="18"/>
      <w:szCs w:val="18"/>
      <w:u w:val="none"/>
    </w:rPr>
  </w:style>
  <w:style w:type="character" w:styleId="7">
    <w:name w:val="Hyperlink"/>
    <w:basedOn w:val="4"/>
    <w:qFormat/>
    <w:uiPriority w:val="0"/>
    <w:rPr>
      <w:rFonts w:hint="eastAsia" w:ascii="宋体" w:hAnsi="宋体" w:eastAsia="宋体" w:cs="宋体"/>
      <w:color w:val="585858"/>
      <w:sz w:val="18"/>
      <w:szCs w:val="18"/>
      <w:u w:val="none"/>
    </w:rPr>
  </w:style>
  <w:style w:type="character" w:customStyle="1" w:styleId="8">
    <w:name w:val="title_article1"/>
    <w:basedOn w:val="4"/>
    <w:qFormat/>
    <w:uiPriority w:val="0"/>
    <w:rPr>
      <w:rFonts w:ascii="Arial" w:hAnsi="Arial" w:cs="Arial"/>
      <w:b/>
      <w:color w:val="FF000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蛋蛋娃</cp:lastModifiedBy>
  <dcterms:modified xsi:type="dcterms:W3CDTF">2019-03-06T03:01:49Z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